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4324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横浜市立図書館団体貸出資料データ化等業務委託（緊急雇用創出事業）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06135E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317A95" w:rsidP="0006135E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06135E">
        <w:rPr>
          <w:rFonts w:hint="eastAsia"/>
          <w:sz w:val="22"/>
        </w:rPr>
        <w:t>中央図書館企画運営課（</w:t>
      </w:r>
      <w:r w:rsidR="0006135E" w:rsidRPr="0006135E">
        <w:rPr>
          <w:sz w:val="22"/>
        </w:rPr>
        <w:t>ky-libkiun@city.yokohama.jp</w:t>
      </w:r>
      <w:r w:rsidR="0006135E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6135E">
        <w:rPr>
          <w:rFonts w:hint="eastAsia"/>
          <w:sz w:val="22"/>
        </w:rPr>
        <w:t>中央図書館企画運営課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135E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36575"/>
    <w:rsid w:val="008763E0"/>
    <w:rsid w:val="00943244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283</Characters>
  <Application>Microsoft Office Word</Application>
  <DocSecurity>0</DocSecurity>
  <Lines>32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企画運営課</cp:lastModifiedBy>
  <cp:revision>4</cp:revision>
  <dcterms:created xsi:type="dcterms:W3CDTF">2020-09-11T05:51:00Z</dcterms:created>
  <dcterms:modified xsi:type="dcterms:W3CDTF">2020-09-14T05:28:00Z</dcterms:modified>
</cp:coreProperties>
</file>